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PROGRAMMAZIONE EDUCATIVO DIDATTICA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SCUOLA SECONDARIA DI PRIMO GRADO “E. FERMI”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A.S. 20../..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Classe: 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Disciplina: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Docente: 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Quadro orario (n. ore settimanali nella classe):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ANALISI DELLA SITUAZIONE DI PARTENZA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Profilo generale della classe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(caratteristiche cognitive, comportamentali, atteggiamenti verso la  disciplina, interesse, partecipazione, impegno)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Alunni con bisogni educativi speciali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(Alunni diversamente abili, con disturbi specifici di apprendimento, stranieri, con disagio socio-culturale – Specificare le linee guida dell’intervento educativo, i traguardi di abilità e competenza e gli obiettivi da raggiungere. Specificare gli strumenti e le metodologie da adottare con riferimento a PDP) 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NB:</w:t>
      </w: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Indicare solo il numero di alunni diversamente abili e DSA senza far riferimento a nomi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Livelli di partenza rilevati e fonti di rilevazione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Indicare tipologie di prova utilizzate per la rilevazione dei livelli di partenza e altre fonti di rilevazione dei dati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09"/>
        <w:gridCol w:w="3209"/>
        <w:gridCol w:w="3210"/>
        <w:tblGridChange w:id="0">
          <w:tblGrid>
            <w:gridCol w:w="3209"/>
            <w:gridCol w:w="3209"/>
            <w:gridCol w:w="32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Alunni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Fasce di livello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Tipologia di interventi</w:t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0"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Potenziamento (8, 9,10)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Consolidamento (7)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0"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Sostegno (6)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0"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Recupero (4,5)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QUADRO DELLE COMPETENZE DISCIPLINARI</w:t>
      </w:r>
    </w:p>
    <w:p w:rsidR="00000000" w:rsidDel="00000000" w:rsidP="00000000" w:rsidRDefault="00000000" w:rsidRPr="00000000" w14:paraId="00000025">
      <w:pPr>
        <w:spacing w:line="360" w:lineRule="auto"/>
        <w:ind w:right="-26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 i Traguardi, gli Obiettivi di apprendimento e i contenuti disciplinari si rimanda al Curricolo Verticale d’Istituto che costituisce parte integrante della presente programmazione. </w:t>
      </w:r>
    </w:p>
    <w:p w:rsidR="00000000" w:rsidDel="00000000" w:rsidP="00000000" w:rsidRDefault="00000000" w:rsidRPr="00000000" w14:paraId="00000026">
      <w:pPr>
        <w:spacing w:line="360" w:lineRule="auto"/>
        <w:ind w:right="-262"/>
        <w:jc w:val="both"/>
        <w:rPr>
          <w:rFonts w:ascii="Times New Roman" w:cs="Times New Roman" w:eastAsia="Times New Roman" w:hAnsi="Times New Roman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highlight w:val="yellow"/>
          <w:rtl w:val="0"/>
        </w:rPr>
        <w:t xml:space="preserve">Riportare scansione temporale dei contenuti concordata all’interno dei dipartimenti e definire gli obiettivi minimi per gli alunni BES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(vedi Curricolo Verticale d’Istituto)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EVENTUALI PERCORSI INTERDISCIPLINARI/MULTIDISCIPLINARI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fare riferimento ai compiti di realtà e ad altri eventuali percorsi interdisciplinari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METODOLOGIE e  STRUMENTI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(Indicare libri di testo in adozione, eventuali testi di approfondimento, attrezzature e ambienti per l’apprendimento)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MODALITA’ DI RECUPERO DELLE LACUNE RILEVATE E DI VALORIZZAZIONE DELLE ECCELLENZE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Specificare le modalità di recupero curricolare, gli interventi di recupero extra curricolare e le modalità di valorizzazione delle eccellenze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EDUCAZIONE CIVICA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261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Come previsto dalle Linee guida per l’insegnamento dell’Educazione civica L.20/19 n.  92 e dal Decreto attuativo del 22 Giugno 2020, viene introdotto l’insegnamento dell’educazione civica.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dettato normativo richiama il principio della trasversalità del nuovo insegnamento, anche in ragione della pluralità degli obiettivi di apprendimento e delle competenze attese, non ascrivibili a una singola disciplina e neppure esclusivamente disciplinari.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Pertanto, anche la disciplina </w:t>
      </w:r>
      <w:r w:rsidDel="00000000" w:rsidR="00000000" w:rsidRPr="00000000">
        <w:rPr>
          <w:rFonts w:ascii="Times New Roman" w:cs="Times New Roman" w:eastAsia="Times New Roman" w:hAnsi="Times New Roman"/>
          <w:highlight w:val="yellow"/>
          <w:rtl w:val="0"/>
        </w:rPr>
        <w:t xml:space="preserve">……………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è parte integrante della progettazione di unità di apprendimento interdisciplinari che svilupperanno i tre nuclei concettuali fondamentali della disciplina: la Costituzione, lo sviluppo sostenibile e la cittadinanza digitale. Si rimanda alle singole unità di apprendimento redatte dal Team dei docenti e al Curricolo di Educazione Civica d’Istituto.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VERIFICA E VALUTAZIONE DEGLI APPRENDIMENTI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Dettagliare le modalità di verifica e il numero di verifiche per tipologia</w:t>
      </w:r>
    </w:p>
    <w:tbl>
      <w:tblPr>
        <w:tblStyle w:val="Table2"/>
        <w:tblW w:w="9268.0" w:type="dxa"/>
        <w:jc w:val="left"/>
        <w:tblInd w:w="2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79"/>
        <w:gridCol w:w="6089"/>
        <w:tblGridChange w:id="0">
          <w:tblGrid>
            <w:gridCol w:w="3179"/>
            <w:gridCol w:w="608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Prove orali: 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minimo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…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 quadrimestre)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Prove scritte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minimo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…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 a quadrimestre)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Prove pratiche (facoltative)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minimo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…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 a quadrimestre)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yellow"/>
          <w:rtl w:val="0"/>
        </w:rPr>
        <w:t xml:space="preserve">Fare riferimento ai compiti di realtà come ulteriore tipologia di prova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60" w:lineRule="auto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 i criteri e griglie di valutazione della disciplina si fa riferimento al Protocollo di Valutazione d’Istituto adottato dal Collegio Docenti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dell’Istituto Comprensivo “Mariano Fermi” per assicurare omogeneità, equità e trasparenza nel processo di valutazione.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5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5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Andria, </w:t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5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Il docente: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5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5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5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20" w:hanging="72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1080" w:hanging="108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